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7"/>
        <w:gridCol w:w="1841"/>
        <w:gridCol w:w="375"/>
        <w:gridCol w:w="22"/>
        <w:gridCol w:w="75"/>
        <w:gridCol w:w="1520"/>
        <w:gridCol w:w="2100"/>
        <w:gridCol w:w="999"/>
        <w:gridCol w:w="26"/>
        <w:gridCol w:w="683"/>
        <w:gridCol w:w="1056"/>
        <w:gridCol w:w="297"/>
        <w:gridCol w:w="399"/>
        <w:gridCol w:w="227"/>
        <w:gridCol w:w="73"/>
        <w:gridCol w:w="312"/>
        <w:gridCol w:w="557"/>
        <w:gridCol w:w="6"/>
        <w:gridCol w:w="6"/>
      </w:tblGrid>
      <w:tr w:rsidR="00FB71D8" w:rsidRPr="00FB71D8" w:rsidTr="00D31CE4">
        <w:trPr>
          <w:gridAfter w:val="2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230030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617B2883" wp14:editId="4CCE0CB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798" w:type="dxa"/>
            <w:gridSpan w:val="12"/>
            <w:vMerge w:val="restart"/>
          </w:tcPr>
          <w:p w:rsidR="00FB71D8" w:rsidRPr="00FB71D8" w:rsidRDefault="00230030" w:rsidP="00D31CE4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FB71D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</w:t>
            </w:r>
            <w:r w:rsid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кая образовательная организация </w:t>
            </w:r>
            <w:r w:rsidR="00FB71D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высшего образования Центросоюза Российской Федерации</w:t>
            </w:r>
          </w:p>
          <w:p w:rsidR="00FB71D8" w:rsidRPr="00FB71D8" w:rsidRDefault="00FB71D8" w:rsidP="00D31CE4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D31CE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D58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FB71D8" w:rsidRPr="00FB71D8" w:rsidRDefault="00D31CE4" w:rsidP="00FB71D8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D31CE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17CAD499" wp14:editId="5B4ABEAF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230030" w:rsidP="00230030">
            <w:pPr>
              <w:tabs>
                <w:tab w:val="left" w:pos="8460"/>
                <w:tab w:val="left" w:pos="11700"/>
              </w:tabs>
              <w:overflowPunct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1D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gridAfter w:val="2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8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gridAfter w:val="2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8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D31CE4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1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52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31CE4" w:rsidRDefault="00D31CE4" w:rsidP="00D31CE4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D31CE4" w:rsidP="00D31CE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1CE4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230030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24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500"/>
        </w:trPr>
        <w:tc>
          <w:tcPr>
            <w:tcW w:w="10065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программе 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  <w:bookmarkStart w:id="0" w:name="_GoBack"/>
                  <w:bookmarkEnd w:id="0"/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306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FB71D8" w:rsidRPr="00FB71D8" w:rsidRDefault="00FB71D8" w:rsidP="001D587D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специальности: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500"/>
        </w:trPr>
        <w:tc>
          <w:tcPr>
            <w:tcW w:w="10065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D3210A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40.02.0</w:t>
                  </w:r>
                  <w:r w:rsidR="00572FE0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2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proofErr w:type="gramStart"/>
                  <w:r w:rsidR="00572FE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Правоохранительная</w:t>
                  </w:r>
                  <w:proofErr w:type="gramEnd"/>
                  <w:r w:rsidR="00572FE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деятельности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31" w:type="dxa"/>
            <w:gridSpan w:val="17"/>
            <w:hideMark/>
          </w:tcPr>
          <w:tbl>
            <w:tblPr>
              <w:tblW w:w="105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  <w:gridCol w:w="1013"/>
            </w:tblGrid>
            <w:tr w:rsidR="001D587D" w:rsidRPr="00FB71D8" w:rsidTr="001D58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D587D" w:rsidRPr="001D587D" w:rsidRDefault="001D587D" w:rsidP="00DB7A2B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Pr="001D587D" w:rsidRDefault="001D587D" w:rsidP="00DB7A2B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1D58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2023</w:t>
                  </w: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Pr="00D70ED1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3" w:type="dxa"/>
                </w:tcPr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Pr="00D70ED1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1D587D">
        <w:trPr>
          <w:trHeight w:val="100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230030" w:rsidRPr="00D70ED1" w:rsidRDefault="00230030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gridAfter w:val="1"/>
          <w:wAfter w:w="11" w:type="dxa"/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FB71D8" w:rsidRDefault="00D31CE4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 </w:t>
            </w:r>
          </w:p>
          <w:p w:rsidR="00D31CE4" w:rsidRPr="00D70ED1" w:rsidRDefault="00230030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2025</w:t>
            </w: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31CE4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C63BC" w:rsidRDefault="00FB71D8" w:rsidP="00230030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  Рабочая программа </w:t>
                  </w:r>
                  <w:r w:rsidR="0059699C" w:rsidRPr="0059699C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2B3372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40.02.0</w:t>
                  </w:r>
                  <w:r w:rsidR="005167A6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2</w:t>
                  </w:r>
                  <w:r w:rsidR="00211426" w:rsidRPr="0058755A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5167A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Правоохранительная деятельность,</w:t>
                  </w:r>
                  <w:r w:rsidR="005E691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2B3372">
                    <w:rPr>
                      <w:rFonts w:ascii="Times New Roman" w:eastAsia="Times New Roman" w:hAnsi="Times New Roman" w:cs="Times New Roman"/>
                      <w:color w:val="000000"/>
                    </w:rPr>
                    <w:t>Мин</w:t>
                  </w:r>
                  <w:r w:rsidR="00230030">
                    <w:rPr>
                      <w:rFonts w:ascii="Times New Roman" w:eastAsia="Times New Roman" w:hAnsi="Times New Roman" w:cs="Times New Roman"/>
                      <w:color w:val="000000"/>
                    </w:rPr>
                    <w:t>обрнауки</w:t>
                  </w:r>
                  <w:proofErr w:type="spellEnd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D31CE4">
                    <w:rPr>
                      <w:rFonts w:ascii="Times New Roman" w:eastAsia="Times New Roman" w:hAnsi="Times New Roman" w:cs="Times New Roman"/>
                      <w:color w:val="000000"/>
                    </w:rPr>
                    <w:t>12.05.2014г. № 509</w:t>
                  </w:r>
                </w:p>
              </w:tc>
            </w:tr>
          </w:tbl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516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D31CE4" w:rsidRPr="00D31C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кафедры</w:t>
                  </w:r>
                  <w:r w:rsidR="00D31CE4" w:rsidRPr="00D31CE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Pr="00FB71D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DC3B4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59699C" w:rsidRPr="005969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DC3B48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DC3B48"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DC3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E12D72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="00E12D72" w:rsidRPr="00480F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99C" w:rsidRPr="00FB71D8" w:rsidRDefault="0059699C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E82D2F" w:rsidRDefault="00E82D2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</w:t>
            </w:r>
          </w:p>
          <w:p w:rsidR="00FB71D8" w:rsidRPr="00FB71D8" w:rsidRDefault="00E82D2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безопасности жизнедеятельности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82D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DC6930" wp14:editId="0EBC33F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DC3B4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 ……………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0730A">
        <w:fldChar w:fldCharType="begin"/>
      </w:r>
      <w:r w:rsidR="00166F0C">
        <w:instrText>HYPERLINK \l "_bookmark7"</w:instrText>
      </w:r>
      <w:r w:rsidR="00B0730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0730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053AC6" w:rsidRDefault="009F1C6B" w:rsidP="008931B9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Общеобразовательная дисциплина </w:t>
      </w:r>
      <w:r w:rsidR="00DC3B48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</w:t>
      </w:r>
      <w:r w:rsidR="00053AC6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5E6913">
        <w:rPr>
          <w:rStyle w:val="a7"/>
          <w:rFonts w:ascii="Times New Roman" w:hAnsi="Times New Roman" w:cs="Times New Roman"/>
          <w:color w:val="auto"/>
          <w:u w:val="none"/>
        </w:rPr>
        <w:t>40.02.0</w:t>
      </w:r>
      <w:r w:rsidR="005167A6">
        <w:rPr>
          <w:rStyle w:val="a7"/>
          <w:rFonts w:ascii="Times New Roman" w:hAnsi="Times New Roman" w:cs="Times New Roman"/>
          <w:color w:val="auto"/>
          <w:u w:val="none"/>
        </w:rPr>
        <w:t>2</w:t>
      </w:r>
      <w:r w:rsidR="005E6913" w:rsidRPr="0058755A">
        <w:rPr>
          <w:rStyle w:val="a7"/>
          <w:rFonts w:ascii="Times New Roman" w:hAnsi="Times New Roman" w:cs="Times New Roman"/>
          <w:color w:val="auto"/>
          <w:u w:val="none"/>
        </w:rPr>
        <w:t xml:space="preserve">  </w:t>
      </w:r>
      <w:r w:rsidR="005167A6">
        <w:rPr>
          <w:rFonts w:ascii="Times New Roman" w:eastAsia="Times New Roman" w:hAnsi="Times New Roman" w:cs="Times New Roman"/>
          <w:lang w:eastAsia="ru-RU"/>
        </w:rPr>
        <w:t>Правоохранительная деятельность.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DC3B48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 xml:space="preserve">развить умения анализировать, оценивать, проверять на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59699C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59699C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59699C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59699C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1D587D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DC3B48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1D587D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9699C" w:rsidRPr="00053AC6">
        <w:trPr>
          <w:trHeight w:val="489"/>
        </w:trPr>
        <w:tc>
          <w:tcPr>
            <w:tcW w:w="7474" w:type="dxa"/>
          </w:tcPr>
          <w:p w:rsidR="0059699C" w:rsidRPr="00053AC6" w:rsidRDefault="0059699C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667" w:type="dxa"/>
          </w:tcPr>
          <w:p w:rsidR="0059699C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59699C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59699C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27"/>
        <w:gridCol w:w="1945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7"/>
        <w:gridCol w:w="40"/>
      </w:tblGrid>
      <w:tr w:rsidR="005E3DF7" w:rsidRPr="00053AC6" w:rsidTr="008C761A"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2"/>
          <w:wAfter w:w="57" w:type="dxa"/>
          <w:trHeight w:val="313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2"/>
          <w:wAfter w:w="57" w:type="dxa"/>
          <w:trHeight w:val="311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tcBorders>
              <w:bottom w:val="nil"/>
            </w:tcBorders>
          </w:tcPr>
          <w:p w:rsidR="005E3DF7" w:rsidRPr="00053AC6" w:rsidRDefault="009F1C6B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2"/>
          <w:wAfter w:w="57" w:type="dxa"/>
          <w:trHeight w:val="321"/>
        </w:trPr>
        <w:tc>
          <w:tcPr>
            <w:tcW w:w="1978" w:type="dxa"/>
            <w:gridSpan w:val="3"/>
            <w:vMerge w:val="restart"/>
            <w:tcBorders>
              <w:top w:val="nil"/>
            </w:tcBorders>
          </w:tcPr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28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DC3B48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636FBA" w:rsidP="00636F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Межмолекулярные взаимодействия. </w:t>
            </w:r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DC3B48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623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3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00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626"/>
        </w:trPr>
        <w:tc>
          <w:tcPr>
            <w:tcW w:w="1978" w:type="dxa"/>
            <w:gridSpan w:val="3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FBA">
        <w:trPr>
          <w:gridAfter w:val="2"/>
          <w:wAfter w:w="57" w:type="dxa"/>
          <w:trHeight w:val="80"/>
        </w:trPr>
        <w:tc>
          <w:tcPr>
            <w:tcW w:w="1978" w:type="dxa"/>
            <w:gridSpan w:val="3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2"/>
          <w:wAfter w:w="57" w:type="dxa"/>
          <w:trHeight w:val="279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59699C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DC3B48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03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3B48" w:rsidRPr="00053AC6" w:rsidRDefault="00DC3B48" w:rsidP="00DC3B48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2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7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3"/>
            <w:vMerge w:val="restart"/>
            <w:tcBorders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6FBA" w:rsidRPr="00053AC6" w:rsidRDefault="00636FBA" w:rsidP="00DC3B4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636FBA">
        <w:trPr>
          <w:gridBefore w:val="1"/>
          <w:gridAfter w:val="1"/>
          <w:wBefore w:w="6" w:type="dxa"/>
          <w:wAfter w:w="40" w:type="dxa"/>
          <w:trHeight w:val="369"/>
        </w:trPr>
        <w:tc>
          <w:tcPr>
            <w:tcW w:w="1978" w:type="dxa"/>
            <w:gridSpan w:val="3"/>
            <w:vMerge/>
            <w:tcBorders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6FBA" w:rsidRPr="00053AC6" w:rsidRDefault="00636FBA" w:rsidP="00DC3B4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FBA" w:rsidRPr="00053AC6" w:rsidRDefault="00636FBA" w:rsidP="00636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6"/>
            <w:tcBorders>
              <w:bottom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 восстановитель. </w:t>
            </w:r>
            <w:proofErr w:type="spellStart"/>
            <w:r w:rsidR="00DC3B48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="00DC3B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3B48" w:rsidRPr="00053AC6" w:rsidTr="0059699C">
        <w:trPr>
          <w:gridBefore w:val="1"/>
          <w:gridAfter w:val="1"/>
          <w:wBefore w:w="6" w:type="dxa"/>
          <w:wAfter w:w="40" w:type="dxa"/>
          <w:trHeight w:val="325"/>
        </w:trPr>
        <w:tc>
          <w:tcPr>
            <w:tcW w:w="197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C3B48" w:rsidRPr="00053AC6" w:rsidRDefault="00DC3B48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6"/>
          </w:tcPr>
          <w:p w:rsidR="0059699C" w:rsidRPr="00053AC6" w:rsidRDefault="0059699C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3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3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8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636FB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0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быту и на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636FBA" w:rsidRPr="00053AC6" w:rsidRDefault="00636FBA" w:rsidP="0009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щелочноземельных металлов и алюминия. Стекло и силикатная промышленность.</w:t>
            </w:r>
          </w:p>
          <w:p w:rsidR="00636FBA" w:rsidRPr="00053AC6" w:rsidRDefault="00636FBA" w:rsidP="0009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968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7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09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молекулы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сходя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 элементного состава (в %).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2"/>
        </w:trPr>
        <w:tc>
          <w:tcPr>
            <w:tcW w:w="1978" w:type="dxa"/>
            <w:gridSpan w:val="3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 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976"/>
        </w:trPr>
        <w:tc>
          <w:tcPr>
            <w:tcW w:w="1978" w:type="dxa"/>
            <w:gridSpan w:val="3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классов (особенности классификации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4.3. Органичес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вещества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59699C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09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5152"/>
        </w:trPr>
        <w:tc>
          <w:tcPr>
            <w:tcW w:w="1978" w:type="dxa"/>
            <w:gridSpan w:val="3"/>
            <w:vMerge/>
            <w:tcBorders>
              <w:bottom w:val="single" w:sz="8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5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5"/>
        </w:trPr>
        <w:tc>
          <w:tcPr>
            <w:tcW w:w="1978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3"/>
            <w:vMerge w:val="restart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5.1. Кинетические закономерности протекания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586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 Роль катализаторов в природе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85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87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2"/>
          <w:gridAfter w:val="2"/>
          <w:wBefore w:w="33" w:type="dxa"/>
          <w:wAfter w:w="57" w:type="dxa"/>
          <w:trHeight w:val="318"/>
        </w:trPr>
        <w:tc>
          <w:tcPr>
            <w:tcW w:w="12606" w:type="dxa"/>
            <w:gridSpan w:val="4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35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63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2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мицеллы.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Рассеивание света при прохождении светового пучка через оптически неоднородную среду (эффекта</w:t>
            </w:r>
            <w:proofErr w:type="gramEnd"/>
          </w:p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5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5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2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1978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44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7.2. Обнаружение органических веществ отдельных классов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76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800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8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59699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4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4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3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0"/>
        </w:trPr>
        <w:tc>
          <w:tcPr>
            <w:tcW w:w="12670" w:type="dxa"/>
            <w:gridSpan w:val="8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5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Химический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8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27347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636FBA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31CE4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636FBA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30" w:rsidRDefault="00230030">
      <w:r>
        <w:separator/>
      </w:r>
    </w:p>
  </w:endnote>
  <w:endnote w:type="continuationSeparator" w:id="0">
    <w:p w:rsidR="00230030" w:rsidRDefault="002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0" w:rsidRDefault="001D587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230030" w:rsidRDefault="002300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D587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0" w:rsidRDefault="001D587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230030" w:rsidRDefault="002300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D587D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0" w:rsidRDefault="001D587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230030" w:rsidRDefault="0023003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0" w:rsidRDefault="001D587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230030" w:rsidRDefault="002300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D587D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0" w:rsidRDefault="001D587D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230030" w:rsidRDefault="002300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D587D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30" w:rsidRDefault="00230030">
      <w:r>
        <w:separator/>
      </w:r>
    </w:p>
  </w:footnote>
  <w:footnote w:type="continuationSeparator" w:id="0">
    <w:p w:rsidR="00230030" w:rsidRDefault="0023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9689C"/>
    <w:rsid w:val="000B2AB8"/>
    <w:rsid w:val="000E090A"/>
    <w:rsid w:val="000F7604"/>
    <w:rsid w:val="0013342E"/>
    <w:rsid w:val="00140FC1"/>
    <w:rsid w:val="00163B17"/>
    <w:rsid w:val="00166F0C"/>
    <w:rsid w:val="001855D3"/>
    <w:rsid w:val="001D587D"/>
    <w:rsid w:val="001E6A67"/>
    <w:rsid w:val="001F7706"/>
    <w:rsid w:val="00211426"/>
    <w:rsid w:val="00213F4D"/>
    <w:rsid w:val="00230030"/>
    <w:rsid w:val="00240D72"/>
    <w:rsid w:val="00263397"/>
    <w:rsid w:val="00287AE9"/>
    <w:rsid w:val="00295F47"/>
    <w:rsid w:val="002A7E97"/>
    <w:rsid w:val="002B3372"/>
    <w:rsid w:val="002E4BE1"/>
    <w:rsid w:val="00323E5A"/>
    <w:rsid w:val="00356740"/>
    <w:rsid w:val="003B27D4"/>
    <w:rsid w:val="00424B34"/>
    <w:rsid w:val="00427C08"/>
    <w:rsid w:val="0045150A"/>
    <w:rsid w:val="00483698"/>
    <w:rsid w:val="004C4629"/>
    <w:rsid w:val="004D0BB3"/>
    <w:rsid w:val="00513BF4"/>
    <w:rsid w:val="005167A6"/>
    <w:rsid w:val="00542D6B"/>
    <w:rsid w:val="00550D2F"/>
    <w:rsid w:val="00560D07"/>
    <w:rsid w:val="00572FE0"/>
    <w:rsid w:val="005754C0"/>
    <w:rsid w:val="00577F4D"/>
    <w:rsid w:val="0058755A"/>
    <w:rsid w:val="0059699C"/>
    <w:rsid w:val="005A2D06"/>
    <w:rsid w:val="005A578E"/>
    <w:rsid w:val="005D1AA8"/>
    <w:rsid w:val="005E3DF7"/>
    <w:rsid w:val="005E6913"/>
    <w:rsid w:val="00627347"/>
    <w:rsid w:val="00636FBA"/>
    <w:rsid w:val="00645C43"/>
    <w:rsid w:val="006877E6"/>
    <w:rsid w:val="006956F3"/>
    <w:rsid w:val="006C239D"/>
    <w:rsid w:val="006D0A5F"/>
    <w:rsid w:val="006F40B7"/>
    <w:rsid w:val="00724D9B"/>
    <w:rsid w:val="007550D4"/>
    <w:rsid w:val="007664AB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931B9"/>
    <w:rsid w:val="008C03D0"/>
    <w:rsid w:val="008C761A"/>
    <w:rsid w:val="008E2229"/>
    <w:rsid w:val="00902F1C"/>
    <w:rsid w:val="00911AD8"/>
    <w:rsid w:val="009E75B7"/>
    <w:rsid w:val="009E761F"/>
    <w:rsid w:val="009F1C6B"/>
    <w:rsid w:val="009F606D"/>
    <w:rsid w:val="00A103EA"/>
    <w:rsid w:val="00A702DA"/>
    <w:rsid w:val="00AF64AF"/>
    <w:rsid w:val="00B04A5D"/>
    <w:rsid w:val="00B0730A"/>
    <w:rsid w:val="00B1071B"/>
    <w:rsid w:val="00B41CB3"/>
    <w:rsid w:val="00B874CF"/>
    <w:rsid w:val="00BC495B"/>
    <w:rsid w:val="00BD0EB0"/>
    <w:rsid w:val="00BD3142"/>
    <w:rsid w:val="00C15675"/>
    <w:rsid w:val="00C26E5F"/>
    <w:rsid w:val="00C433E3"/>
    <w:rsid w:val="00C506CE"/>
    <w:rsid w:val="00C8295F"/>
    <w:rsid w:val="00CF04D6"/>
    <w:rsid w:val="00CF0CC9"/>
    <w:rsid w:val="00D05D69"/>
    <w:rsid w:val="00D15A32"/>
    <w:rsid w:val="00D31CE4"/>
    <w:rsid w:val="00D3210A"/>
    <w:rsid w:val="00D70381"/>
    <w:rsid w:val="00D70ED1"/>
    <w:rsid w:val="00D9094F"/>
    <w:rsid w:val="00D90A57"/>
    <w:rsid w:val="00DC3B48"/>
    <w:rsid w:val="00DC446A"/>
    <w:rsid w:val="00DC63BC"/>
    <w:rsid w:val="00DD35F3"/>
    <w:rsid w:val="00DF286F"/>
    <w:rsid w:val="00DF49BD"/>
    <w:rsid w:val="00E12D72"/>
    <w:rsid w:val="00E414A5"/>
    <w:rsid w:val="00E445EF"/>
    <w:rsid w:val="00E61CC9"/>
    <w:rsid w:val="00E82D2F"/>
    <w:rsid w:val="00E951F2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DC7FF-1517-425D-BB9A-64801701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42</Pages>
  <Words>8808</Words>
  <Characters>50212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53</cp:revision>
  <dcterms:created xsi:type="dcterms:W3CDTF">2023-06-04T09:44:00Z</dcterms:created>
  <dcterms:modified xsi:type="dcterms:W3CDTF">2025-11-18T03:49:00Z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